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C6" w:rsidRDefault="008B52C6" w:rsidP="008B52C6">
      <w:pPr>
        <w:pStyle w:val="52"/>
        <w:rPr>
          <w:rFonts w:ascii="Times New Roman" w:hAnsi="Times New Roman" w:cs="Times New Roman"/>
          <w:color w:val="000000"/>
        </w:rPr>
      </w:pPr>
      <w:bookmarkStart w:id="0" w:name="_Toc520477362"/>
      <w:r>
        <w:rPr>
          <w:rFonts w:ascii="Times New Roman" w:hAnsi="Times New Roman" w:cs="Times New Roman" w:hint="eastAsia"/>
          <w:color w:val="000000"/>
        </w:rPr>
        <w:t>东南大学研究生学位论文盲审条例</w:t>
      </w:r>
      <w:bookmarkEnd w:id="0"/>
    </w:p>
    <w:p w:rsidR="008B52C6" w:rsidRDefault="008B52C6" w:rsidP="008B52C6">
      <w:pPr>
        <w:pStyle w:val="52"/>
        <w:rPr>
          <w:rFonts w:ascii="Times New Roman" w:hAnsi="Times New Roman" w:cs="Times New Roman"/>
          <w:color w:val="000000"/>
        </w:rPr>
      </w:pPr>
      <w:bookmarkStart w:id="1" w:name="_Toc520477363"/>
      <w:r>
        <w:rPr>
          <w:rFonts w:ascii="Times New Roman" w:hAnsi="Times New Roman" w:cs="Times New Roman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2017</w:t>
      </w:r>
      <w:r>
        <w:rPr>
          <w:rFonts w:ascii="Times New Roman" w:hAnsi="Times New Roman" w:cs="Times New Roman" w:hint="eastAsia"/>
          <w:color w:val="000000"/>
        </w:rPr>
        <w:t>年修订）</w:t>
      </w:r>
      <w:bookmarkEnd w:id="1"/>
    </w:p>
    <w:p w:rsidR="008B52C6" w:rsidRDefault="008B52C6" w:rsidP="008B52C6">
      <w:pPr>
        <w:pStyle w:val="81"/>
        <w:rPr>
          <w:color w:val="000000"/>
        </w:rPr>
      </w:pPr>
    </w:p>
    <w:p w:rsidR="008B52C6" w:rsidRDefault="008B52C6" w:rsidP="008B52C6">
      <w:pPr>
        <w:pStyle w:val="81"/>
        <w:rPr>
          <w:color w:val="000000"/>
        </w:rPr>
      </w:pPr>
      <w:r>
        <w:rPr>
          <w:rFonts w:hint="eastAsia"/>
          <w:color w:val="000000"/>
        </w:rPr>
        <w:t>学位论文是研究生科研能力和培养质量的集中体现。为了提高我校学位论文的总体质量，更加客观、公正地做好学位论文的审查、评阅工作，确保学位授予质量，特制定本条例。</w:t>
      </w:r>
    </w:p>
    <w:p w:rsidR="008B52C6" w:rsidRDefault="008B52C6" w:rsidP="008B52C6">
      <w:pPr>
        <w:pStyle w:val="81"/>
        <w:rPr>
          <w:color w:val="000000"/>
        </w:rPr>
      </w:pPr>
      <w:r>
        <w:rPr>
          <w:rFonts w:ascii="黑体" w:eastAsia="黑体" w:hint="eastAsia"/>
          <w:color w:val="000000"/>
        </w:rPr>
        <w:t>第一条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学位论文盲审是在送审及评阅过程中隐去研究生、导师以及评阅人姓名等个人基本信息的一种“双盲”方法。要求参与研究生学位论文盲审的工作人员严格遵守“双盲”的原则，不得将研究生、导师以及评阅人姓名等信息泄露给任何人，研究生及导师也不得从任何途径了解评阅人情况，妨碍评阅的公正性。</w:t>
      </w:r>
    </w:p>
    <w:p w:rsidR="008B52C6" w:rsidRDefault="008B52C6" w:rsidP="008B52C6">
      <w:pPr>
        <w:pStyle w:val="81"/>
        <w:rPr>
          <w:color w:val="000000"/>
        </w:rPr>
      </w:pPr>
      <w:r>
        <w:rPr>
          <w:rFonts w:ascii="黑体" w:eastAsia="黑体" w:hint="eastAsia"/>
          <w:color w:val="000000"/>
        </w:rPr>
        <w:t xml:space="preserve">第二条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研究生学位论文格式参见《东南大学研究生学位论文的格式规定》。</w:t>
      </w:r>
      <w:proofErr w:type="gramStart"/>
      <w:r>
        <w:rPr>
          <w:rFonts w:hint="eastAsia"/>
          <w:color w:val="000000"/>
        </w:rPr>
        <w:t>盲审学位</w:t>
      </w:r>
      <w:proofErr w:type="gramEnd"/>
      <w:r>
        <w:rPr>
          <w:rFonts w:hint="eastAsia"/>
          <w:color w:val="000000"/>
        </w:rPr>
        <w:t>论文的具体要求：博士学位论文封面用</w:t>
      </w:r>
      <w:proofErr w:type="gramStart"/>
      <w:r>
        <w:rPr>
          <w:rFonts w:hint="eastAsia"/>
          <w:color w:val="000000"/>
        </w:rPr>
        <w:t>白色刚古艺术</w:t>
      </w:r>
      <w:proofErr w:type="gramEnd"/>
      <w:r>
        <w:rPr>
          <w:rFonts w:hint="eastAsia"/>
          <w:color w:val="000000"/>
        </w:rPr>
        <w:t>纸，硕士学位论文封面用淡黄</w:t>
      </w:r>
      <w:proofErr w:type="gramStart"/>
      <w:r>
        <w:rPr>
          <w:rFonts w:hint="eastAsia"/>
          <w:color w:val="000000"/>
        </w:rPr>
        <w:t>色刚古</w:t>
      </w:r>
      <w:proofErr w:type="gramEnd"/>
      <w:r>
        <w:rPr>
          <w:rFonts w:hint="eastAsia"/>
          <w:color w:val="000000"/>
        </w:rPr>
        <w:t>艺术纸；中英文论文封面、摘要、书脊及论文中不要出现研究生姓名和导师姓名；用全英文撰写的硕士学位论文需提供不少于</w:t>
      </w:r>
      <w:r>
        <w:rPr>
          <w:color w:val="000000"/>
        </w:rPr>
        <w:t>3000</w:t>
      </w:r>
      <w:r>
        <w:rPr>
          <w:rFonts w:hint="eastAsia"/>
          <w:color w:val="000000"/>
        </w:rPr>
        <w:t>字的中文摘要，用全英文撰写的博士学位论文需提供不少于</w:t>
      </w:r>
      <w:r>
        <w:rPr>
          <w:color w:val="000000"/>
        </w:rPr>
        <w:t>6000</w:t>
      </w:r>
      <w:r>
        <w:rPr>
          <w:rFonts w:hint="eastAsia"/>
          <w:color w:val="000000"/>
        </w:rPr>
        <w:t>字的中文摘要；论文独创性声明和使用授权声明请勿签名；研究生发表论文清单要将研究生姓名、导师姓名隐去，并注明是第几作者；致谢不要出现</w:t>
      </w:r>
      <w:proofErr w:type="gramStart"/>
      <w:r>
        <w:rPr>
          <w:rFonts w:hint="eastAsia"/>
          <w:color w:val="000000"/>
        </w:rPr>
        <w:t>在盲审学位</w:t>
      </w:r>
      <w:proofErr w:type="gramEnd"/>
      <w:r>
        <w:rPr>
          <w:rFonts w:hint="eastAsia"/>
          <w:color w:val="000000"/>
        </w:rPr>
        <w:t>论文中。</w:t>
      </w:r>
    </w:p>
    <w:p w:rsidR="008B52C6" w:rsidRDefault="008B52C6" w:rsidP="008B52C6">
      <w:pPr>
        <w:pStyle w:val="81"/>
        <w:rPr>
          <w:color w:val="000000"/>
        </w:rPr>
      </w:pPr>
      <w:r>
        <w:rPr>
          <w:rFonts w:ascii="黑体" w:eastAsia="黑体" w:hint="eastAsia"/>
          <w:color w:val="000000"/>
        </w:rPr>
        <w:t>第三条</w:t>
      </w:r>
      <w:r>
        <w:rPr>
          <w:color w:val="000000"/>
        </w:rPr>
        <w:t xml:space="preserve">  </w:t>
      </w:r>
      <w:proofErr w:type="gramStart"/>
      <w:r>
        <w:rPr>
          <w:rFonts w:hint="eastAsia"/>
          <w:color w:val="000000"/>
        </w:rPr>
        <w:t>盲审工作</w:t>
      </w:r>
      <w:proofErr w:type="gramEnd"/>
      <w:r>
        <w:rPr>
          <w:rFonts w:hint="eastAsia"/>
          <w:color w:val="000000"/>
        </w:rPr>
        <w:t>由校学位评定委员会负责，校学位办公室（简称学位办）组织实施。</w:t>
      </w:r>
      <w:proofErr w:type="gramStart"/>
      <w:r>
        <w:rPr>
          <w:rFonts w:hint="eastAsia"/>
          <w:color w:val="000000"/>
        </w:rPr>
        <w:t>盲审对象</w:t>
      </w:r>
      <w:proofErr w:type="gramEnd"/>
      <w:r>
        <w:rPr>
          <w:rFonts w:hint="eastAsia"/>
          <w:color w:val="000000"/>
        </w:rPr>
        <w:t>为所有博士研究生（申请毕业答辩的博士研究生的论文由院系负责送审）、随机抽取的硕士研究生、新任导师和新增专业（含新增专业学位）的第一批硕士研究生（按比例抽取）、中期考核受筛选警告、在校期间受记过或留校察看处分、所有申请提前答辩或在校学习时间超过三年（含休学、保留学籍）申请答辩的硕士研究生。</w:t>
      </w:r>
    </w:p>
    <w:p w:rsidR="008B52C6" w:rsidRDefault="008B52C6" w:rsidP="008B52C6">
      <w:pPr>
        <w:pStyle w:val="81"/>
        <w:rPr>
          <w:color w:val="000000"/>
        </w:rPr>
      </w:pPr>
      <w:r>
        <w:rPr>
          <w:rFonts w:ascii="黑体" w:eastAsia="黑体" w:hint="eastAsia"/>
          <w:color w:val="000000"/>
        </w:rPr>
        <w:t>第四条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学位论文盲审费包括评阅费和管理费，学位论文盲审费标准按照学校相关财务规定执行。除抽号的硕士</w:t>
      </w:r>
      <w:proofErr w:type="gramStart"/>
      <w:r>
        <w:rPr>
          <w:rFonts w:hint="eastAsia"/>
          <w:color w:val="000000"/>
        </w:rPr>
        <w:t>研究生盲审不需交</w:t>
      </w:r>
      <w:proofErr w:type="gramEnd"/>
      <w:r>
        <w:rPr>
          <w:rFonts w:hint="eastAsia"/>
          <w:color w:val="000000"/>
        </w:rPr>
        <w:t>评阅费外，其余</w:t>
      </w:r>
      <w:proofErr w:type="gramStart"/>
      <w:r>
        <w:rPr>
          <w:rFonts w:hint="eastAsia"/>
          <w:color w:val="000000"/>
        </w:rPr>
        <w:t>研究生盲审按</w:t>
      </w:r>
      <w:proofErr w:type="gramEnd"/>
      <w:r>
        <w:rPr>
          <w:rFonts w:hint="eastAsia"/>
          <w:color w:val="000000"/>
        </w:rPr>
        <w:t>学校规定标准交评阅费；管理费（支付给评审院校）由学校承担。重新送审</w:t>
      </w:r>
      <w:proofErr w:type="gramStart"/>
      <w:r>
        <w:rPr>
          <w:rFonts w:hint="eastAsia"/>
          <w:color w:val="000000"/>
        </w:rPr>
        <w:t>的盲审评阅</w:t>
      </w:r>
      <w:proofErr w:type="gramEnd"/>
      <w:r>
        <w:rPr>
          <w:rFonts w:hint="eastAsia"/>
          <w:color w:val="000000"/>
        </w:rPr>
        <w:t>费自理。</w:t>
      </w:r>
    </w:p>
    <w:p w:rsidR="008B52C6" w:rsidRDefault="008B52C6" w:rsidP="008B52C6">
      <w:pPr>
        <w:pStyle w:val="81"/>
        <w:rPr>
          <w:color w:val="000000"/>
        </w:rPr>
      </w:pPr>
      <w:r>
        <w:rPr>
          <w:rFonts w:ascii="黑体" w:eastAsia="黑体" w:hint="eastAsia"/>
          <w:color w:val="000000"/>
        </w:rPr>
        <w:t>第五条</w:t>
      </w:r>
      <w:r>
        <w:rPr>
          <w:b/>
          <w:color w:val="000000"/>
        </w:rPr>
        <w:t xml:space="preserve">  </w:t>
      </w:r>
      <w:r>
        <w:rPr>
          <w:rFonts w:hint="eastAsia"/>
          <w:color w:val="000000"/>
        </w:rPr>
        <w:t>为了避免</w:t>
      </w:r>
      <w:proofErr w:type="gramStart"/>
      <w:r>
        <w:rPr>
          <w:rFonts w:hint="eastAsia"/>
          <w:color w:val="000000"/>
        </w:rPr>
        <w:t>因学术</w:t>
      </w:r>
      <w:proofErr w:type="gramEnd"/>
      <w:r>
        <w:rPr>
          <w:rFonts w:hint="eastAsia"/>
          <w:color w:val="000000"/>
        </w:rPr>
        <w:t>观点等原因导致学位论文评阅工作中发生不公正现象，研究生及其导师可以提出其学位论文评阅需要回避的院校或专家，最多可以提出</w:t>
      </w:r>
      <w:r>
        <w:rPr>
          <w:color w:val="000000"/>
        </w:rPr>
        <w:t>2</w:t>
      </w:r>
      <w:r>
        <w:rPr>
          <w:rFonts w:hint="eastAsia"/>
          <w:color w:val="000000"/>
        </w:rPr>
        <w:t>所院校或</w:t>
      </w:r>
      <w:r>
        <w:rPr>
          <w:color w:val="000000"/>
        </w:rPr>
        <w:t>3</w:t>
      </w:r>
      <w:r>
        <w:rPr>
          <w:rFonts w:hint="eastAsia"/>
          <w:color w:val="000000"/>
        </w:rPr>
        <w:t>名专家。</w:t>
      </w:r>
    </w:p>
    <w:p w:rsidR="008B52C6" w:rsidRDefault="008B52C6" w:rsidP="008B52C6">
      <w:pPr>
        <w:pStyle w:val="81"/>
        <w:rPr>
          <w:color w:val="000000"/>
        </w:rPr>
      </w:pPr>
      <w:r>
        <w:rPr>
          <w:rFonts w:ascii="黑体" w:eastAsia="黑体" w:hint="eastAsia"/>
          <w:color w:val="000000"/>
        </w:rPr>
        <w:t>第六条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学位论文盲审者至少提前</w:t>
      </w:r>
      <w:r>
        <w:rPr>
          <w:color w:val="000000"/>
        </w:rPr>
        <w:t>50</w:t>
      </w:r>
      <w:r>
        <w:rPr>
          <w:rFonts w:hint="eastAsia"/>
          <w:color w:val="000000"/>
        </w:rPr>
        <w:t>个工作日将</w:t>
      </w:r>
      <w:proofErr w:type="gramStart"/>
      <w:r>
        <w:rPr>
          <w:rFonts w:hint="eastAsia"/>
          <w:color w:val="000000"/>
        </w:rPr>
        <w:t>符合盲审要求</w:t>
      </w:r>
      <w:proofErr w:type="gramEnd"/>
      <w:r>
        <w:rPr>
          <w:rFonts w:hint="eastAsia"/>
          <w:color w:val="000000"/>
        </w:rPr>
        <w:t>的相关材料送交学位办，由学位办专人负责办理送审。</w:t>
      </w:r>
    </w:p>
    <w:p w:rsidR="008B52C6" w:rsidRDefault="008B52C6" w:rsidP="008B52C6">
      <w:pPr>
        <w:pStyle w:val="81"/>
        <w:rPr>
          <w:color w:val="000000"/>
        </w:rPr>
      </w:pPr>
      <w:r>
        <w:rPr>
          <w:rFonts w:ascii="黑体" w:eastAsia="黑体" w:hint="eastAsia"/>
          <w:color w:val="000000"/>
        </w:rPr>
        <w:t>第七条</w:t>
      </w:r>
      <w:r>
        <w:rPr>
          <w:b/>
          <w:color w:val="000000"/>
        </w:rPr>
        <w:t xml:space="preserve">  </w:t>
      </w:r>
      <w:proofErr w:type="gramStart"/>
      <w:r>
        <w:rPr>
          <w:rFonts w:hint="eastAsia"/>
          <w:color w:val="000000"/>
        </w:rPr>
        <w:t>盲</w:t>
      </w:r>
      <w:proofErr w:type="gramEnd"/>
      <w:r>
        <w:rPr>
          <w:rFonts w:hint="eastAsia"/>
          <w:color w:val="000000"/>
        </w:rPr>
        <w:t>审结</w:t>
      </w:r>
      <w:proofErr w:type="gramStart"/>
      <w:r>
        <w:rPr>
          <w:rFonts w:hint="eastAsia"/>
          <w:color w:val="000000"/>
        </w:rPr>
        <w:t>果处理</w:t>
      </w:r>
      <w:proofErr w:type="gramEnd"/>
      <w:r>
        <w:rPr>
          <w:rFonts w:hint="eastAsia"/>
          <w:color w:val="000000"/>
        </w:rPr>
        <w:t>办法主要</w:t>
      </w:r>
      <w:proofErr w:type="gramStart"/>
      <w:r>
        <w:rPr>
          <w:rFonts w:hint="eastAsia"/>
          <w:color w:val="000000"/>
        </w:rPr>
        <w:t>依据盲审评阅</w:t>
      </w:r>
      <w:proofErr w:type="gramEnd"/>
      <w:r>
        <w:rPr>
          <w:rFonts w:hint="eastAsia"/>
          <w:color w:val="000000"/>
        </w:rPr>
        <w:t>书中的是否同意答辩意见，具体表述如下：</w:t>
      </w:r>
    </w:p>
    <w:p w:rsidR="008B52C6" w:rsidRDefault="008B52C6" w:rsidP="008B52C6">
      <w:pPr>
        <w:pStyle w:val="81"/>
        <w:rPr>
          <w:color w:val="000000"/>
        </w:rPr>
      </w:pPr>
      <w:r>
        <w:rPr>
          <w:rFonts w:hint="eastAsia"/>
          <w:color w:val="000000"/>
        </w:rPr>
        <w:t>评阅人对论文是否同意答辩的意见：</w:t>
      </w:r>
    </w:p>
    <w:p w:rsidR="008B52C6" w:rsidRDefault="008B52C6" w:rsidP="008B52C6">
      <w:pPr>
        <w:pStyle w:val="73"/>
        <w:rPr>
          <w:color w:val="000000"/>
        </w:rPr>
      </w:pPr>
      <w:r>
        <w:rPr>
          <w:rFonts w:hint="eastAsia"/>
          <w:color w:val="000000"/>
        </w:rPr>
        <w:t>达到博士</w:t>
      </w:r>
      <w:r>
        <w:rPr>
          <w:color w:val="000000"/>
        </w:rPr>
        <w:t>/</w:t>
      </w:r>
      <w:r>
        <w:rPr>
          <w:rFonts w:hint="eastAsia"/>
          <w:color w:val="000000"/>
        </w:rPr>
        <w:t>硕士学位（毕业）论文要求，同意经少量的修改后答辩（</w:t>
      </w:r>
      <w:r>
        <w:rPr>
          <w:color w:val="000000"/>
        </w:rPr>
        <w:t>80</w:t>
      </w:r>
      <w:r>
        <w:rPr>
          <w:rFonts w:hint="eastAsia"/>
          <w:color w:val="000000"/>
        </w:rPr>
        <w:t>分以上）。</w:t>
      </w:r>
    </w:p>
    <w:p w:rsidR="008B52C6" w:rsidRDefault="008B52C6" w:rsidP="008B52C6">
      <w:pPr>
        <w:pStyle w:val="81"/>
        <w:rPr>
          <w:color w:val="000000"/>
        </w:rPr>
      </w:pPr>
      <w:r>
        <w:rPr>
          <w:rFonts w:hint="eastAsia"/>
          <w:color w:val="000000"/>
        </w:rPr>
        <w:t>基本达到博士</w:t>
      </w:r>
      <w:r>
        <w:rPr>
          <w:color w:val="000000"/>
        </w:rPr>
        <w:t>/</w:t>
      </w:r>
      <w:r>
        <w:rPr>
          <w:rFonts w:hint="eastAsia"/>
          <w:color w:val="000000"/>
        </w:rPr>
        <w:t>硕士学位（毕业）论文要求，同意进行一定的修改，经导师审核后答辩（</w:t>
      </w:r>
      <w:r>
        <w:rPr>
          <w:color w:val="000000"/>
        </w:rPr>
        <w:t>70</w:t>
      </w:r>
      <w:r>
        <w:rPr>
          <w:rFonts w:hint="eastAsia"/>
          <w:color w:val="000000"/>
        </w:rPr>
        <w:t>分</w:t>
      </w:r>
      <w:r>
        <w:rPr>
          <w:color w:val="000000"/>
        </w:rPr>
        <w:t>-79</w:t>
      </w:r>
      <w:r>
        <w:rPr>
          <w:rFonts w:hint="eastAsia"/>
          <w:color w:val="000000"/>
        </w:rPr>
        <w:t>分）。</w:t>
      </w:r>
    </w:p>
    <w:p w:rsidR="008B52C6" w:rsidRDefault="008B52C6" w:rsidP="008B52C6">
      <w:pPr>
        <w:pStyle w:val="81"/>
        <w:rPr>
          <w:color w:val="000000"/>
        </w:rPr>
      </w:pPr>
      <w:r>
        <w:rPr>
          <w:rFonts w:hint="eastAsia"/>
          <w:color w:val="000000"/>
        </w:rPr>
        <w:t>与博士</w:t>
      </w:r>
      <w:r>
        <w:rPr>
          <w:color w:val="000000"/>
        </w:rPr>
        <w:t>/</w:t>
      </w:r>
      <w:r>
        <w:rPr>
          <w:rFonts w:hint="eastAsia"/>
          <w:color w:val="000000"/>
        </w:rPr>
        <w:t>硕士学位（毕业）论文要求有一定差距，需进行较大的修改后重新评审（</w:t>
      </w:r>
      <w:r>
        <w:rPr>
          <w:color w:val="000000"/>
        </w:rPr>
        <w:t>60</w:t>
      </w:r>
      <w:r>
        <w:rPr>
          <w:rFonts w:hint="eastAsia"/>
          <w:color w:val="000000"/>
        </w:rPr>
        <w:t>分</w:t>
      </w:r>
      <w:r>
        <w:rPr>
          <w:color w:val="000000"/>
        </w:rPr>
        <w:t>-69</w:t>
      </w:r>
      <w:r>
        <w:rPr>
          <w:rFonts w:hint="eastAsia"/>
          <w:color w:val="000000"/>
        </w:rPr>
        <w:t>分）。</w:t>
      </w:r>
    </w:p>
    <w:p w:rsidR="008B52C6" w:rsidRDefault="008B52C6" w:rsidP="008B52C6">
      <w:pPr>
        <w:pStyle w:val="73"/>
        <w:rPr>
          <w:color w:val="000000"/>
        </w:rPr>
      </w:pPr>
      <w:r>
        <w:rPr>
          <w:rFonts w:hint="eastAsia"/>
          <w:color w:val="000000"/>
        </w:rPr>
        <w:t>未达到博士</w:t>
      </w:r>
      <w:r>
        <w:rPr>
          <w:color w:val="000000"/>
        </w:rPr>
        <w:t>/</w:t>
      </w:r>
      <w:r>
        <w:rPr>
          <w:rFonts w:hint="eastAsia"/>
          <w:color w:val="000000"/>
        </w:rPr>
        <w:t>硕士学位（毕业）论文要求，不同意答辩（</w:t>
      </w:r>
      <w:r>
        <w:rPr>
          <w:color w:val="000000"/>
        </w:rPr>
        <w:t>60</w:t>
      </w:r>
      <w:r>
        <w:rPr>
          <w:rFonts w:hint="eastAsia"/>
          <w:color w:val="000000"/>
        </w:rPr>
        <w:t>分以下）。</w:t>
      </w:r>
    </w:p>
    <w:p w:rsidR="008B52C6" w:rsidRDefault="008B52C6" w:rsidP="008B52C6">
      <w:pPr>
        <w:pStyle w:val="81"/>
        <w:rPr>
          <w:color w:val="000000"/>
        </w:rPr>
      </w:pPr>
      <w:proofErr w:type="gramStart"/>
      <w:r>
        <w:rPr>
          <w:rFonts w:hint="eastAsia"/>
          <w:color w:val="000000"/>
        </w:rPr>
        <w:t>若盲审</w:t>
      </w:r>
      <w:proofErr w:type="gramEnd"/>
      <w:r>
        <w:rPr>
          <w:rFonts w:hint="eastAsia"/>
          <w:color w:val="000000"/>
        </w:rPr>
        <w:t>返回的评阅书全部为“同意经少量的修改后答辩”，</w:t>
      </w:r>
      <w:proofErr w:type="gramStart"/>
      <w:r>
        <w:rPr>
          <w:rFonts w:hint="eastAsia"/>
          <w:color w:val="000000"/>
        </w:rPr>
        <w:t>则盲审通过</w:t>
      </w:r>
      <w:proofErr w:type="gramEnd"/>
      <w:r>
        <w:rPr>
          <w:rFonts w:hint="eastAsia"/>
          <w:color w:val="000000"/>
        </w:rPr>
        <w:t>，可申请答辩。若评阅</w:t>
      </w:r>
      <w:proofErr w:type="gramStart"/>
      <w:r>
        <w:rPr>
          <w:rFonts w:hint="eastAsia"/>
          <w:color w:val="000000"/>
        </w:rPr>
        <w:t>书意见</w:t>
      </w:r>
      <w:proofErr w:type="gramEnd"/>
      <w:r>
        <w:rPr>
          <w:rFonts w:hint="eastAsia"/>
          <w:color w:val="000000"/>
        </w:rPr>
        <w:t>中有“同意进行一定的修改，经导师审核后答辩”，则需要进行修改，导师审核通过后（并附上导师审核意见），方可申请答辩。</w:t>
      </w:r>
    </w:p>
    <w:p w:rsidR="008B52C6" w:rsidRDefault="008B52C6" w:rsidP="008B52C6">
      <w:pPr>
        <w:pStyle w:val="81"/>
        <w:rPr>
          <w:color w:val="000000"/>
        </w:rPr>
      </w:pPr>
      <w:r>
        <w:rPr>
          <w:rFonts w:ascii="黑体" w:eastAsia="黑体" w:hint="eastAsia"/>
          <w:color w:val="000000"/>
        </w:rPr>
        <w:t>第八条</w:t>
      </w:r>
      <w:r>
        <w:rPr>
          <w:color w:val="000000"/>
        </w:rPr>
        <w:t xml:space="preserve">  </w:t>
      </w:r>
      <w:proofErr w:type="gramStart"/>
      <w:r>
        <w:rPr>
          <w:rFonts w:hint="eastAsia"/>
          <w:color w:val="000000"/>
        </w:rPr>
        <w:t>若盲审</w:t>
      </w:r>
      <w:proofErr w:type="gramEnd"/>
      <w:r>
        <w:rPr>
          <w:rFonts w:hint="eastAsia"/>
          <w:color w:val="000000"/>
        </w:rPr>
        <w:t>返回的评阅</w:t>
      </w:r>
      <w:proofErr w:type="gramStart"/>
      <w:r>
        <w:rPr>
          <w:rFonts w:hint="eastAsia"/>
          <w:color w:val="000000"/>
        </w:rPr>
        <w:t>书意见</w:t>
      </w:r>
      <w:proofErr w:type="gramEnd"/>
      <w:r>
        <w:rPr>
          <w:rFonts w:hint="eastAsia"/>
          <w:color w:val="000000"/>
        </w:rPr>
        <w:t>有一份及以上是“需进行较大的修改后重新评审”或“不同意答辩”，一般应对论文做出实质性修改，并要求填写《东南大学研究生学位（毕业）</w:t>
      </w:r>
      <w:r>
        <w:rPr>
          <w:rFonts w:hint="eastAsia"/>
          <w:color w:val="000000"/>
        </w:rPr>
        <w:lastRenderedPageBreak/>
        <w:t>论文重新评阅申请表》，自所有评阅书返回之日起至少一个月后方可重新送审。</w:t>
      </w:r>
    </w:p>
    <w:p w:rsidR="008B52C6" w:rsidRDefault="008B52C6" w:rsidP="008B52C6">
      <w:pPr>
        <w:pStyle w:val="73"/>
        <w:rPr>
          <w:color w:val="000000"/>
        </w:rPr>
      </w:pPr>
      <w:r>
        <w:rPr>
          <w:rFonts w:ascii="黑体" w:eastAsia="黑体" w:hint="eastAsia"/>
          <w:color w:val="000000"/>
        </w:rPr>
        <w:t>第九条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如研究生及其导师认为评阅不通过是因为学术观点分歧所致，或因其他原因致使评阅有失公正，可填写《东南大学研究生学位（毕业）论文评阅学术观点分歧申诉表》，向分委会提出申诉。若分委会不同意申诉请求，则应对论文进行修改，按论文重新送审的方式办理相关手续；若分委会同意申诉请求，则应提交未经修改的论文，由学位办再次组织评审。</w:t>
      </w:r>
    </w:p>
    <w:p w:rsidR="008B52C6" w:rsidRDefault="008B52C6" w:rsidP="008B52C6">
      <w:pPr>
        <w:pStyle w:val="81"/>
        <w:rPr>
          <w:color w:val="000000"/>
        </w:rPr>
      </w:pPr>
      <w:r>
        <w:rPr>
          <w:rFonts w:ascii="黑体" w:eastAsia="黑体" w:hint="eastAsia"/>
          <w:color w:val="000000"/>
        </w:rPr>
        <w:t>第十条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重新送审返回的评阅</w:t>
      </w:r>
      <w:proofErr w:type="gramStart"/>
      <w:r>
        <w:rPr>
          <w:rFonts w:hint="eastAsia"/>
          <w:color w:val="000000"/>
        </w:rPr>
        <w:t>书意见</w:t>
      </w:r>
      <w:proofErr w:type="gramEnd"/>
      <w:r>
        <w:rPr>
          <w:rFonts w:hint="eastAsia"/>
          <w:color w:val="000000"/>
        </w:rPr>
        <w:t>有一份及以上是“需进行较大的修改后重新评审”或“不同意答辩”，则被认为</w:t>
      </w:r>
      <w:proofErr w:type="gramStart"/>
      <w:r>
        <w:rPr>
          <w:rFonts w:hint="eastAsia"/>
          <w:color w:val="000000"/>
        </w:rPr>
        <w:t>盲审未</w:t>
      </w:r>
      <w:proofErr w:type="gramEnd"/>
      <w:r>
        <w:rPr>
          <w:rFonts w:hint="eastAsia"/>
          <w:color w:val="000000"/>
        </w:rPr>
        <w:t>通过，暂缓其论文答辩。</w:t>
      </w:r>
    </w:p>
    <w:p w:rsidR="008B52C6" w:rsidRDefault="008B52C6" w:rsidP="008B52C6">
      <w:pPr>
        <w:pStyle w:val="81"/>
        <w:rPr>
          <w:color w:val="000000"/>
        </w:rPr>
      </w:pPr>
      <w:r>
        <w:rPr>
          <w:rFonts w:ascii="黑体" w:eastAsia="黑体" w:hint="eastAsia"/>
          <w:color w:val="000000"/>
        </w:rPr>
        <w:t>第十一条</w:t>
      </w:r>
      <w:r>
        <w:rPr>
          <w:color w:val="000000"/>
        </w:rPr>
        <w:t xml:space="preserve">  </w:t>
      </w:r>
      <w:proofErr w:type="gramStart"/>
      <w:r>
        <w:rPr>
          <w:rFonts w:hint="eastAsia"/>
          <w:color w:val="000000"/>
        </w:rPr>
        <w:t>盲审未</w:t>
      </w:r>
      <w:proofErr w:type="gramEnd"/>
      <w:r>
        <w:rPr>
          <w:rFonts w:hint="eastAsia"/>
          <w:color w:val="000000"/>
        </w:rPr>
        <w:t>通过者（</w:t>
      </w:r>
      <w:proofErr w:type="gramStart"/>
      <w:r>
        <w:rPr>
          <w:rFonts w:hint="eastAsia"/>
          <w:color w:val="000000"/>
        </w:rPr>
        <w:t>含申请</w:t>
      </w:r>
      <w:proofErr w:type="gramEnd"/>
      <w:r>
        <w:rPr>
          <w:rFonts w:hint="eastAsia"/>
          <w:color w:val="000000"/>
        </w:rPr>
        <w:t>毕业答辩的博士研究生的</w:t>
      </w:r>
      <w:proofErr w:type="gramStart"/>
      <w:r>
        <w:rPr>
          <w:rFonts w:hint="eastAsia"/>
          <w:color w:val="000000"/>
        </w:rPr>
        <w:t>盲审未</w:t>
      </w:r>
      <w:proofErr w:type="gramEnd"/>
      <w:r>
        <w:rPr>
          <w:rFonts w:hint="eastAsia"/>
          <w:color w:val="000000"/>
        </w:rPr>
        <w:t>通过者），自所有评阅书返回之日起</w:t>
      </w:r>
      <w:r>
        <w:rPr>
          <w:color w:val="000000"/>
        </w:rPr>
        <w:t>15</w:t>
      </w:r>
      <w:r>
        <w:rPr>
          <w:rFonts w:hint="eastAsia"/>
          <w:color w:val="000000"/>
        </w:rPr>
        <w:t>天内由导师将该生的学位论文工作、评阅意见等情况以书面形式提交所在学科的学位</w:t>
      </w:r>
      <w:proofErr w:type="gramStart"/>
      <w:r>
        <w:rPr>
          <w:rFonts w:hint="eastAsia"/>
          <w:color w:val="000000"/>
        </w:rPr>
        <w:t>评定分</w:t>
      </w:r>
      <w:proofErr w:type="gramEnd"/>
      <w:r>
        <w:rPr>
          <w:rFonts w:hint="eastAsia"/>
          <w:color w:val="000000"/>
        </w:rPr>
        <w:t>委员会讨论。分委会的意见分为三种（限选一项）①不需修改，申请答辩。②修改后（半年后一年内）再申请复审。③达不到学位（毕业）论文水平要求，取消答辩申请。分委会的处理意见应以无记名投票方式，经出席会议的三分之二以上（含三分之二）委员同意则为通过（同意的票数，应</w:t>
      </w:r>
      <w:proofErr w:type="gramStart"/>
      <w:r>
        <w:rPr>
          <w:rFonts w:hint="eastAsia"/>
          <w:color w:val="000000"/>
        </w:rPr>
        <w:t>过全体</w:t>
      </w:r>
      <w:proofErr w:type="gramEnd"/>
      <w:r>
        <w:rPr>
          <w:rFonts w:hint="eastAsia"/>
          <w:color w:val="000000"/>
        </w:rPr>
        <w:t>委员数的半数）。分委会给出处理意见后，应填写《学位评定分委员会对盲审未通过研究生学位论文处理意见表》，报学位办。针对分委会第②</w:t>
      </w:r>
      <w:proofErr w:type="gramStart"/>
      <w:r>
        <w:rPr>
          <w:rFonts w:hint="eastAsia"/>
          <w:color w:val="000000"/>
        </w:rPr>
        <w:t>种处理</w:t>
      </w:r>
      <w:proofErr w:type="gramEnd"/>
      <w:r>
        <w:rPr>
          <w:rFonts w:hint="eastAsia"/>
          <w:color w:val="000000"/>
        </w:rPr>
        <w:t>意见，由学位办再组织送审；针对分委会第①、③种意见，由学位办提交校学位评定委员会讨论决定。</w:t>
      </w:r>
    </w:p>
    <w:p w:rsidR="008B52C6" w:rsidRDefault="008B52C6" w:rsidP="008B52C6">
      <w:pPr>
        <w:pStyle w:val="73"/>
        <w:rPr>
          <w:color w:val="000000"/>
        </w:rPr>
      </w:pPr>
      <w:r>
        <w:rPr>
          <w:rFonts w:ascii="黑体" w:eastAsia="黑体" w:hint="eastAsia"/>
          <w:color w:val="000000"/>
        </w:rPr>
        <w:t>第十二条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确定为侵占、抄袭、剽窃他人学术成果的学位论文，按“东南大学学位论文作假行为处理办法”执行。</w:t>
      </w:r>
    </w:p>
    <w:p w:rsidR="008B52C6" w:rsidRDefault="008B52C6" w:rsidP="008B52C6">
      <w:pPr>
        <w:pStyle w:val="73"/>
        <w:rPr>
          <w:color w:val="000000"/>
        </w:rPr>
      </w:pPr>
      <w:r>
        <w:rPr>
          <w:rFonts w:ascii="黑体" w:eastAsia="黑体" w:hint="eastAsia"/>
          <w:color w:val="000000"/>
        </w:rPr>
        <w:t>第十三条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本条例自通过之日起开始执行，以往有关规定与本条例不一致的，以本条例为准。</w:t>
      </w:r>
    </w:p>
    <w:p w:rsidR="008B52C6" w:rsidRDefault="008B52C6" w:rsidP="008B52C6">
      <w:pPr>
        <w:pStyle w:val="73"/>
        <w:rPr>
          <w:color w:val="000000"/>
        </w:rPr>
      </w:pPr>
      <w:r>
        <w:rPr>
          <w:rFonts w:ascii="黑体" w:eastAsia="黑体" w:hint="eastAsia"/>
          <w:color w:val="000000"/>
        </w:rPr>
        <w:t xml:space="preserve">第十四条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本条例由研究生院负责解释。</w:t>
      </w:r>
    </w:p>
    <w:p w:rsidR="008B52C6" w:rsidRDefault="008B52C6" w:rsidP="008B52C6">
      <w:pPr>
        <w:pStyle w:val="64"/>
        <w:rPr>
          <w:rFonts w:ascii="Times New Roman" w:hAnsi="Times New Roman" w:cs="Times New Roman"/>
          <w:color w:val="000000"/>
        </w:rPr>
      </w:pPr>
    </w:p>
    <w:p w:rsidR="008B52C6" w:rsidRDefault="008B52C6" w:rsidP="008B52C6">
      <w:pPr>
        <w:pStyle w:val="64"/>
        <w:rPr>
          <w:rFonts w:ascii="Times New Roman" w:hAnsi="Times New Roman" w:cs="Times New Roman"/>
          <w:color w:val="000000"/>
        </w:rPr>
      </w:pPr>
    </w:p>
    <w:p w:rsidR="008B52C6" w:rsidRDefault="008B52C6" w:rsidP="008B52C6">
      <w:pPr>
        <w:pStyle w:val="6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（</w:t>
      </w:r>
      <w:proofErr w:type="gramStart"/>
      <w:r>
        <w:rPr>
          <w:rFonts w:ascii="Times New Roman" w:hAnsi="Times New Roman" w:cs="Times New Roman" w:hint="eastAsia"/>
          <w:color w:val="000000"/>
        </w:rPr>
        <w:t>校发</w:t>
      </w:r>
      <w:proofErr w:type="gramEnd"/>
      <w:r>
        <w:rPr>
          <w:rFonts w:ascii="宋体" w:eastAsia="宋体" w:cs="Times New Roman" w:hint="eastAsia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>2017</w:t>
      </w:r>
      <w:r>
        <w:rPr>
          <w:rFonts w:ascii="宋体" w:eastAsia="宋体" w:cs="Times New Roman" w:hint="eastAsia"/>
          <w:color w:val="000000"/>
        </w:rPr>
        <w:t>]</w:t>
      </w:r>
      <w:r>
        <w:rPr>
          <w:rFonts w:ascii="Times New Roman" w:hAnsi="Times New Roman" w:cs="Times New Roman"/>
          <w:color w:val="000000"/>
        </w:rPr>
        <w:t>231</w:t>
      </w:r>
      <w:r>
        <w:rPr>
          <w:rFonts w:ascii="Times New Roman" w:hAnsi="Times New Roman" w:cs="Times New Roman" w:hint="eastAsia"/>
          <w:color w:val="000000"/>
        </w:rPr>
        <w:t>号）</w:t>
      </w:r>
    </w:p>
    <w:p w:rsidR="008B52C6" w:rsidRDefault="008B52C6" w:rsidP="008B52C6">
      <w:pPr>
        <w:pStyle w:val="64"/>
        <w:rPr>
          <w:rFonts w:ascii="Times New Roman" w:hAnsi="Times New Roman" w:cs="Times New Roman"/>
          <w:color w:val="000000"/>
        </w:rPr>
      </w:pPr>
    </w:p>
    <w:p w:rsidR="008B52C6" w:rsidRDefault="008B52C6" w:rsidP="008B52C6">
      <w:pPr>
        <w:pStyle w:val="48"/>
        <w:rPr>
          <w:rFonts w:ascii="Times New Roman" w:hAnsi="Times New Roman" w:cs="Times New Roman"/>
          <w:color w:val="000000"/>
        </w:rPr>
      </w:pPr>
      <w:r>
        <w:rPr>
          <w:rStyle w:val="37Char"/>
          <w:rFonts w:ascii="Times New Roman" w:hAnsi="Times New Roman" w:cs="Times New Roman" w:hint="default"/>
          <w:color w:val="000000"/>
        </w:rPr>
        <w:t>附件一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学位论文盲审格式及要求</w:t>
      </w:r>
    </w:p>
    <w:p w:rsidR="008B52C6" w:rsidRDefault="008B52C6" w:rsidP="008B52C6">
      <w:pPr>
        <w:pStyle w:val="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一、</w:t>
      </w:r>
      <w:proofErr w:type="gramStart"/>
      <w:r>
        <w:rPr>
          <w:rFonts w:ascii="Times New Roman" w:hAnsi="Times New Roman" w:cs="Times New Roman" w:hint="eastAsia"/>
          <w:color w:val="000000"/>
        </w:rPr>
        <w:t>盲审学位</w:t>
      </w:r>
      <w:proofErr w:type="gramEnd"/>
      <w:r>
        <w:rPr>
          <w:rFonts w:ascii="Times New Roman" w:hAnsi="Times New Roman" w:cs="Times New Roman" w:hint="eastAsia"/>
          <w:color w:val="000000"/>
        </w:rPr>
        <w:t>论文格式参见《东南大学研究生学位论文格式规定》的有关格式要求。</w:t>
      </w:r>
    </w:p>
    <w:p w:rsidR="008B52C6" w:rsidRDefault="008B52C6" w:rsidP="008B52C6">
      <w:pPr>
        <w:pStyle w:val="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二、</w:t>
      </w:r>
      <w:proofErr w:type="gramStart"/>
      <w:r>
        <w:rPr>
          <w:rFonts w:ascii="Times New Roman" w:hAnsi="Times New Roman" w:cs="Times New Roman" w:hint="eastAsia"/>
          <w:color w:val="000000"/>
        </w:rPr>
        <w:t>盲审学位</w:t>
      </w:r>
      <w:proofErr w:type="gramEnd"/>
      <w:r>
        <w:rPr>
          <w:rFonts w:ascii="Times New Roman" w:hAnsi="Times New Roman" w:cs="Times New Roman" w:hint="eastAsia"/>
          <w:color w:val="000000"/>
        </w:rPr>
        <w:t>论文的特殊格式要求：</w:t>
      </w:r>
    </w:p>
    <w:p w:rsidR="008B52C6" w:rsidRDefault="008B52C6" w:rsidP="008B52C6">
      <w:pPr>
        <w:pStyle w:val="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 w:hint="eastAsia"/>
          <w:color w:val="000000"/>
        </w:rPr>
        <w:t>论文独创性声明和使用授权声明请勿签名。</w:t>
      </w:r>
    </w:p>
    <w:p w:rsidR="008B52C6" w:rsidRDefault="008B52C6" w:rsidP="008B52C6">
      <w:pPr>
        <w:pStyle w:val="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 w:hint="eastAsia"/>
          <w:color w:val="000000"/>
        </w:rPr>
        <w:t>论文中不要出现研究生姓名、导师姓名等有关信息。</w:t>
      </w:r>
    </w:p>
    <w:p w:rsidR="008B52C6" w:rsidRDefault="008B52C6" w:rsidP="008B52C6">
      <w:pPr>
        <w:pStyle w:val="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 w:hint="eastAsia"/>
          <w:color w:val="000000"/>
        </w:rPr>
        <w:t>删去致谢页。</w:t>
      </w:r>
    </w:p>
    <w:p w:rsidR="008B52C6" w:rsidRDefault="008B52C6" w:rsidP="008B52C6">
      <w:pPr>
        <w:pStyle w:val="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 w:hint="eastAsia"/>
          <w:color w:val="000000"/>
        </w:rPr>
        <w:t>研究生发表论文注明是第几作者即可，不要出现作者和他人姓名。</w:t>
      </w:r>
    </w:p>
    <w:p w:rsidR="008B52C6" w:rsidRDefault="008B52C6" w:rsidP="008B52C6">
      <w:pPr>
        <w:pStyle w:val="33"/>
        <w:rPr>
          <w:rFonts w:ascii="Times New Roman" w:hAnsi="Times New Roman" w:cs="Times New Roman"/>
          <w:color w:val="000000"/>
        </w:rPr>
      </w:pPr>
    </w:p>
    <w:p w:rsidR="008B52C6" w:rsidRDefault="008B52C6" w:rsidP="008B52C6">
      <w:pPr>
        <w:pStyle w:val="33"/>
        <w:rPr>
          <w:rFonts w:ascii="Times New Roman" w:hAnsi="Times New Roman" w:cs="Times New Roman"/>
          <w:color w:val="000000"/>
        </w:rPr>
      </w:pPr>
    </w:p>
    <w:p w:rsidR="008B52C6" w:rsidRDefault="008B52C6" w:rsidP="008B52C6">
      <w:pPr>
        <w:pStyle w:val="33"/>
        <w:rPr>
          <w:rFonts w:ascii="Times New Roman" w:hAnsi="Times New Roman" w:cs="Times New Roman"/>
          <w:color w:val="000000"/>
        </w:rPr>
      </w:pPr>
      <w:r>
        <w:rPr>
          <w:rStyle w:val="37Char"/>
          <w:rFonts w:ascii="Times New Roman" w:hAnsi="Times New Roman" w:cs="Times New Roman" w:hint="default"/>
          <w:color w:val="000000"/>
        </w:rPr>
        <w:t>附件二</w:t>
      </w:r>
      <w:r>
        <w:rPr>
          <w:rStyle w:val="37Char"/>
          <w:rFonts w:ascii="Times New Roman" w:hAnsi="Times New Roman" w:cs="Times New Roman" w:hint="defaul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《东南大学研究生学位论文重新评阅申请表》见研究生院主页学位教育</w:t>
      </w:r>
      <w:r>
        <w:rPr>
          <w:rFonts w:ascii="Times New Roman" w:hAnsi="Times New Roman" w:cs="Times New Roman"/>
          <w:color w:val="000000"/>
        </w:rPr>
        <w:t>→</w:t>
      </w:r>
      <w:r>
        <w:rPr>
          <w:rFonts w:ascii="Times New Roman" w:hAnsi="Times New Roman" w:cs="Times New Roman" w:hint="eastAsia"/>
          <w:color w:val="000000"/>
        </w:rPr>
        <w:t>文件下载</w:t>
      </w:r>
    </w:p>
    <w:p w:rsidR="008B52C6" w:rsidRDefault="008B52C6" w:rsidP="008B52C6">
      <w:pPr>
        <w:pStyle w:val="33"/>
        <w:rPr>
          <w:rFonts w:ascii="Times New Roman" w:hAnsi="Times New Roman" w:cs="Times New Roman"/>
          <w:color w:val="000000"/>
        </w:rPr>
      </w:pPr>
    </w:p>
    <w:p w:rsidR="008B52C6" w:rsidRDefault="008B52C6" w:rsidP="008B52C6">
      <w:pPr>
        <w:pStyle w:val="33"/>
        <w:rPr>
          <w:rFonts w:ascii="Times New Roman" w:hAnsi="Times New Roman" w:cs="Times New Roman"/>
          <w:color w:val="000000"/>
        </w:rPr>
      </w:pPr>
      <w:r>
        <w:rPr>
          <w:rStyle w:val="37Char"/>
          <w:rFonts w:ascii="Times New Roman" w:hAnsi="Times New Roman" w:cs="Times New Roman" w:hint="default"/>
          <w:color w:val="000000"/>
        </w:rPr>
        <w:t>附件三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《东南大学研究生学位论文评阅学术观点分歧申诉表》见研究生院主页学位教育</w:t>
      </w:r>
      <w:r>
        <w:rPr>
          <w:rFonts w:ascii="Times New Roman" w:hAnsi="Times New Roman" w:cs="Times New Roman"/>
          <w:color w:val="000000"/>
        </w:rPr>
        <w:t>→</w:t>
      </w:r>
      <w:r>
        <w:rPr>
          <w:rFonts w:ascii="Times New Roman" w:hAnsi="Times New Roman" w:cs="Times New Roman" w:hint="eastAsia"/>
          <w:color w:val="000000"/>
        </w:rPr>
        <w:t>文件下载</w:t>
      </w:r>
    </w:p>
    <w:p w:rsidR="008B52C6" w:rsidRDefault="008B52C6" w:rsidP="008B52C6">
      <w:pPr>
        <w:pStyle w:val="33"/>
        <w:rPr>
          <w:rFonts w:ascii="Times New Roman" w:hAnsi="Times New Roman" w:cs="Times New Roman"/>
          <w:color w:val="000000"/>
        </w:rPr>
      </w:pPr>
    </w:p>
    <w:p w:rsidR="001378AC" w:rsidRDefault="008B52C6" w:rsidP="008B52C6">
      <w:pPr>
        <w:pStyle w:val="42"/>
      </w:pPr>
      <w:r>
        <w:rPr>
          <w:rStyle w:val="37Char"/>
          <w:rFonts w:ascii="Times New Roman" w:hAnsi="Times New Roman" w:cs="Times New Roman" w:hint="default"/>
          <w:color w:val="000000"/>
        </w:rPr>
        <w:t>附件四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《学位评定分委员会对盲审未通过研究生学位论文处理意见表》见研究生院主页学位教育</w:t>
      </w:r>
      <w:r>
        <w:rPr>
          <w:rFonts w:ascii="Times New Roman" w:hAnsi="Times New Roman" w:cs="Times New Roman"/>
          <w:color w:val="000000"/>
        </w:rPr>
        <w:t>→</w:t>
      </w:r>
      <w:r>
        <w:rPr>
          <w:rFonts w:ascii="Times New Roman" w:hAnsi="Times New Roman" w:cs="Times New Roman" w:hint="eastAsia"/>
          <w:color w:val="000000"/>
        </w:rPr>
        <w:t>文件下载</w:t>
      </w:r>
      <w:bookmarkStart w:id="2" w:name="_GoBack"/>
      <w:bookmarkEnd w:id="2"/>
    </w:p>
    <w:sectPr w:rsidR="00137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F"/>
    <w:rsid w:val="001378AC"/>
    <w:rsid w:val="00821C5F"/>
    <w:rsid w:val="008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2D90"/>
  <w15:chartTrackingRefBased/>
  <w15:docId w15:val="{C3661E13-6167-47B6-88EE-6D3A663C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52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">
    <w:name w:val="样式52"/>
    <w:basedOn w:val="1"/>
    <w:rsid w:val="008B52C6"/>
    <w:pPr>
      <w:keepNext w:val="0"/>
      <w:keepLines w:val="0"/>
      <w:spacing w:before="0" w:after="0" w:line="240" w:lineRule="auto"/>
      <w:jc w:val="center"/>
    </w:pPr>
    <w:rPr>
      <w:rFonts w:ascii="黑体" w:eastAsia="黑体" w:hAnsi="宋体" w:cs="宋体"/>
      <w:b w:val="0"/>
      <w:bCs w:val="0"/>
      <w:kern w:val="2"/>
      <w:sz w:val="30"/>
      <w:szCs w:val="30"/>
    </w:rPr>
  </w:style>
  <w:style w:type="paragraph" w:customStyle="1" w:styleId="81">
    <w:name w:val="样式81"/>
    <w:basedOn w:val="a"/>
    <w:qFormat/>
    <w:rsid w:val="008B52C6"/>
    <w:pPr>
      <w:spacing w:line="320" w:lineRule="exact"/>
      <w:ind w:firstLineChars="200" w:firstLine="420"/>
    </w:pPr>
    <w:rPr>
      <w:rFonts w:eastAsia="方正书宋简体"/>
      <w:szCs w:val="21"/>
    </w:rPr>
  </w:style>
  <w:style w:type="paragraph" w:customStyle="1" w:styleId="64">
    <w:name w:val="样式64"/>
    <w:basedOn w:val="a"/>
    <w:rsid w:val="008B52C6"/>
    <w:pPr>
      <w:spacing w:line="300" w:lineRule="exact"/>
      <w:ind w:firstLineChars="200" w:firstLine="420"/>
    </w:pPr>
    <w:rPr>
      <w:rFonts w:ascii="方正书宋简体" w:eastAsia="方正书宋简体" w:hAnsi="宋体" w:cs="宋体"/>
      <w:szCs w:val="21"/>
    </w:rPr>
  </w:style>
  <w:style w:type="paragraph" w:customStyle="1" w:styleId="73">
    <w:name w:val="样式73"/>
    <w:basedOn w:val="a"/>
    <w:qFormat/>
    <w:rsid w:val="008B52C6"/>
    <w:pPr>
      <w:spacing w:line="300" w:lineRule="exact"/>
      <w:ind w:firstLineChars="200" w:firstLine="420"/>
    </w:pPr>
    <w:rPr>
      <w:rFonts w:eastAsia="方正书宋简体"/>
      <w:szCs w:val="21"/>
    </w:rPr>
  </w:style>
  <w:style w:type="character" w:customStyle="1" w:styleId="10">
    <w:name w:val="标题 1 字符"/>
    <w:basedOn w:val="a0"/>
    <w:link w:val="1"/>
    <w:uiPriority w:val="9"/>
    <w:rsid w:val="008B52C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3Char1">
    <w:name w:val="样式33 Char1"/>
    <w:link w:val="33"/>
    <w:locked/>
    <w:rsid w:val="008B52C6"/>
    <w:rPr>
      <w:rFonts w:ascii="方正书宋简体" w:eastAsia="方正书宋简体" w:hAnsi="宋体" w:cs="宋体"/>
      <w:szCs w:val="21"/>
    </w:rPr>
  </w:style>
  <w:style w:type="paragraph" w:customStyle="1" w:styleId="33">
    <w:name w:val="样式33"/>
    <w:basedOn w:val="a"/>
    <w:link w:val="33Char1"/>
    <w:rsid w:val="008B52C6"/>
    <w:pPr>
      <w:spacing w:line="300" w:lineRule="exact"/>
      <w:ind w:firstLineChars="200" w:firstLine="420"/>
    </w:pPr>
    <w:rPr>
      <w:rFonts w:ascii="方正书宋简体" w:eastAsia="方正书宋简体" w:hAnsi="宋体" w:cs="宋体"/>
      <w:szCs w:val="21"/>
    </w:rPr>
  </w:style>
  <w:style w:type="character" w:customStyle="1" w:styleId="48Char">
    <w:name w:val="样式48 Char"/>
    <w:basedOn w:val="a0"/>
    <w:link w:val="48"/>
    <w:locked/>
    <w:rsid w:val="008B52C6"/>
    <w:rPr>
      <w:rFonts w:ascii="方正书宋简体" w:eastAsia="方正书宋简体" w:hAnsi="宋体" w:cs="宋体"/>
      <w:szCs w:val="21"/>
    </w:rPr>
  </w:style>
  <w:style w:type="paragraph" w:customStyle="1" w:styleId="48">
    <w:name w:val="样式48"/>
    <w:basedOn w:val="a"/>
    <w:link w:val="48Char"/>
    <w:rsid w:val="008B52C6"/>
    <w:pPr>
      <w:spacing w:line="300" w:lineRule="exact"/>
      <w:ind w:firstLineChars="200" w:firstLine="420"/>
    </w:pPr>
    <w:rPr>
      <w:rFonts w:ascii="方正书宋简体" w:eastAsia="方正书宋简体" w:hAnsi="宋体" w:cs="宋体"/>
      <w:szCs w:val="21"/>
    </w:rPr>
  </w:style>
  <w:style w:type="character" w:customStyle="1" w:styleId="37Char">
    <w:name w:val="样式37 Char"/>
    <w:basedOn w:val="a0"/>
    <w:rsid w:val="008B52C6"/>
    <w:rPr>
      <w:rFonts w:ascii="黑体" w:eastAsia="黑体" w:hAnsi="宋体" w:cs="宋体" w:hint="eastAsia"/>
      <w:kern w:val="2"/>
      <w:sz w:val="21"/>
      <w:szCs w:val="21"/>
      <w:lang w:val="en-US" w:eastAsia="zh-CN" w:bidi="ar-SA"/>
    </w:rPr>
  </w:style>
  <w:style w:type="paragraph" w:customStyle="1" w:styleId="42">
    <w:name w:val="样式42"/>
    <w:basedOn w:val="33"/>
    <w:link w:val="42Char1"/>
    <w:rsid w:val="008B52C6"/>
  </w:style>
  <w:style w:type="character" w:customStyle="1" w:styleId="42Char1">
    <w:name w:val="样式42 Char1"/>
    <w:basedOn w:val="33Char1"/>
    <w:link w:val="42"/>
    <w:locked/>
    <w:rsid w:val="008B52C6"/>
    <w:rPr>
      <w:rFonts w:ascii="方正书宋简体" w:eastAsia="方正书宋简体" w:hAns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2019-06-20T02:10:00Z</dcterms:created>
  <dcterms:modified xsi:type="dcterms:W3CDTF">2019-06-20T02:11:00Z</dcterms:modified>
</cp:coreProperties>
</file>