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D3" w:rsidRDefault="002075D3" w:rsidP="002075D3">
      <w:pPr>
        <w:pStyle w:val="52"/>
        <w:rPr>
          <w:rFonts w:ascii="Times New Roman" w:hAnsi="Times New Roman" w:cs="Times New Roman"/>
          <w:color w:val="000000"/>
        </w:rPr>
      </w:pPr>
      <w:bookmarkStart w:id="0" w:name="_Toc520477353"/>
      <w:r>
        <w:rPr>
          <w:rFonts w:ascii="Times New Roman" w:hAnsi="Times New Roman" w:cs="Times New Roman" w:hint="eastAsia"/>
          <w:color w:val="000000"/>
        </w:rPr>
        <w:t>东南大学研究生课程选课及其管理办法</w:t>
      </w:r>
      <w:bookmarkEnd w:id="0"/>
    </w:p>
    <w:p w:rsidR="002075D3" w:rsidRDefault="002075D3" w:rsidP="002075D3">
      <w:pPr>
        <w:pStyle w:val="21"/>
        <w:jc w:val="center"/>
        <w:rPr>
          <w:rFonts w:ascii="Times New Roman" w:hAnsi="Times New Roman" w:cs="Times New Roman"/>
          <w:color w:val="000000"/>
        </w:rPr>
      </w:pPr>
    </w:p>
    <w:p w:rsidR="002075D3" w:rsidRDefault="002075D3" w:rsidP="002075D3">
      <w:pPr>
        <w:pStyle w:val="70"/>
        <w:spacing w:before="156" w:after="156"/>
        <w:rPr>
          <w:color w:val="000000"/>
        </w:rPr>
      </w:pPr>
      <w:r>
        <w:rPr>
          <w:rFonts w:hint="eastAsia"/>
          <w:color w:val="000000"/>
        </w:rPr>
        <w:t>第一章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总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则</w:t>
      </w:r>
    </w:p>
    <w:p w:rsidR="002075D3" w:rsidRDefault="002075D3" w:rsidP="002075D3">
      <w:pPr>
        <w:pStyle w:val="78"/>
        <w:rPr>
          <w:color w:val="000000"/>
        </w:rPr>
      </w:pPr>
      <w:r>
        <w:rPr>
          <w:rStyle w:val="21Char"/>
          <w:rFonts w:hint="default"/>
          <w:color w:val="000000"/>
        </w:rPr>
        <w:t>第一条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研究生课程及其教学组织实行校、院（系、所）二级管理，研究生院除负责课程总体安排以外，主要负责公共课教学组织与管理，专业课主要由开课的院（系、所）负责组织安排。</w:t>
      </w:r>
    </w:p>
    <w:p w:rsidR="002075D3" w:rsidRDefault="002075D3" w:rsidP="002075D3">
      <w:pPr>
        <w:pStyle w:val="78"/>
        <w:rPr>
          <w:color w:val="000000"/>
        </w:rPr>
      </w:pPr>
      <w:r>
        <w:rPr>
          <w:rStyle w:val="21Char"/>
          <w:rFonts w:hint="default"/>
          <w:color w:val="000000"/>
        </w:rPr>
        <w:t>第二条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我校研究生课程分为博士研究生课程和硕士研究生课程，课程编号第一个字母分别以</w:t>
      </w:r>
      <w:r>
        <w:rPr>
          <w:color w:val="000000"/>
        </w:rPr>
        <w:t>B</w:t>
      </w:r>
      <w:r>
        <w:rPr>
          <w:rFonts w:hint="eastAsia"/>
          <w:color w:val="000000"/>
        </w:rPr>
        <w:t>和</w:t>
      </w:r>
      <w:r>
        <w:rPr>
          <w:color w:val="000000"/>
        </w:rPr>
        <w:t>S</w:t>
      </w:r>
      <w:r>
        <w:rPr>
          <w:rFonts w:hint="eastAsia"/>
          <w:color w:val="000000"/>
        </w:rPr>
        <w:t>表示。</w:t>
      </w:r>
    </w:p>
    <w:p w:rsidR="002075D3" w:rsidRDefault="002075D3" w:rsidP="002075D3">
      <w:pPr>
        <w:pStyle w:val="78"/>
        <w:rPr>
          <w:color w:val="000000"/>
        </w:rPr>
      </w:pPr>
      <w:r>
        <w:rPr>
          <w:rStyle w:val="21Char"/>
          <w:rFonts w:hint="default"/>
          <w:color w:val="000000"/>
        </w:rPr>
        <w:t>第三条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根据本学科、专业的培养方案，新生在导师的指导下制定培养计划，并在网上慎重提交经导师同意的培养计划。研究生每学期要进行网上选课（除按规定批准免修的课程外），所选课程应在当年开课目录范围内且须与本人提交的培养计划一致。若所选学位课程不在培养计划内，即培养计划需要变更，必须填写《研究生培养计划变更申请表》，经导师签字（盖章）同意，交研究生院备案后才能更改。</w:t>
      </w:r>
    </w:p>
    <w:p w:rsidR="002075D3" w:rsidRDefault="002075D3" w:rsidP="002075D3">
      <w:pPr>
        <w:pStyle w:val="78"/>
        <w:rPr>
          <w:color w:val="000000"/>
        </w:rPr>
      </w:pPr>
      <w:r>
        <w:rPr>
          <w:rStyle w:val="21Char"/>
          <w:rFonts w:hint="default"/>
          <w:color w:val="000000"/>
        </w:rPr>
        <w:t>第四条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研究生所选课程经过学习并考试（考查）及格者，方能取得该课程的学分。对未进行网上选课的研究生，任课教师不得自行同意其参加考试，所取得的考试（考查）成绩也不予认可。</w:t>
      </w:r>
    </w:p>
    <w:p w:rsidR="002075D3" w:rsidRDefault="002075D3" w:rsidP="002075D3">
      <w:pPr>
        <w:pStyle w:val="78"/>
        <w:rPr>
          <w:color w:val="000000"/>
        </w:rPr>
      </w:pPr>
      <w:r>
        <w:rPr>
          <w:rStyle w:val="21Char"/>
          <w:rFonts w:hint="default"/>
          <w:color w:val="000000"/>
        </w:rPr>
        <w:t>第五条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每学期研究生所选课程要达到一定的人数才能开课，硕士生课程选课人数在</w:t>
      </w:r>
      <w:r>
        <w:rPr>
          <w:color w:val="000000"/>
        </w:rPr>
        <w:t>10</w:t>
      </w:r>
      <w:r>
        <w:rPr>
          <w:rFonts w:hint="eastAsia"/>
          <w:color w:val="000000"/>
        </w:rPr>
        <w:t>人以下，博士生课程选课人数在</w:t>
      </w:r>
      <w:r>
        <w:rPr>
          <w:color w:val="000000"/>
        </w:rPr>
        <w:t>5</w:t>
      </w:r>
      <w:r>
        <w:rPr>
          <w:rFonts w:hint="eastAsia"/>
          <w:color w:val="000000"/>
        </w:rPr>
        <w:t>人以下的要经研究生院审核批准后决定是否开课。</w:t>
      </w:r>
    </w:p>
    <w:p w:rsidR="002075D3" w:rsidRDefault="002075D3" w:rsidP="002075D3">
      <w:pPr>
        <w:pStyle w:val="70"/>
        <w:spacing w:before="156" w:after="156"/>
        <w:rPr>
          <w:color w:val="000000"/>
        </w:rPr>
      </w:pPr>
      <w:r>
        <w:rPr>
          <w:rFonts w:hint="eastAsia"/>
          <w:color w:val="000000"/>
        </w:rPr>
        <w:t>第二章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选课管理</w:t>
      </w:r>
    </w:p>
    <w:p w:rsidR="002075D3" w:rsidRDefault="002075D3" w:rsidP="002075D3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第六条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博士生应在第一学年内完成课程学习计划，修满学分。硕士研究生应在第一学年内完成学位课程学习计划，在</w:t>
      </w:r>
      <w:proofErr w:type="gramStart"/>
      <w:r>
        <w:rPr>
          <w:rFonts w:ascii="Times New Roman" w:hAnsi="Times New Roman" w:cs="Times New Roman" w:hint="eastAsia"/>
          <w:color w:val="000000"/>
        </w:rPr>
        <w:t>一</w:t>
      </w:r>
      <w:proofErr w:type="gramEnd"/>
      <w:r>
        <w:rPr>
          <w:rFonts w:ascii="Times New Roman" w:hAnsi="Times New Roman" w:cs="Times New Roman" w:hint="eastAsia"/>
          <w:color w:val="000000"/>
        </w:rPr>
        <w:t>学年半内完成全部课程学习计划。</w:t>
      </w:r>
    </w:p>
    <w:p w:rsidR="002075D3" w:rsidRDefault="002075D3" w:rsidP="002075D3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第七条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新生第一学期须在网上提交培养计划并打印一式三份，经导师签字同意后交导师、院（系、所）研究生教务秘书各一份，另一份务必自留，待毕业时装入本人档案材料袋；每学期须在网上提交选课单并打印一式两份，交导师签字同意后，一份交院（系、所）研究生教务秘书备案，另一份务必自留（注：打印出的培养计划和每学期的选课单都须经导师签字后才能生效）。</w:t>
      </w:r>
    </w:p>
    <w:p w:rsidR="002075D3" w:rsidRDefault="002075D3" w:rsidP="002075D3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第八条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每学期研究生网上选课的具体时间安排，研究生院将在网页上及时公布。</w:t>
      </w:r>
    </w:p>
    <w:p w:rsidR="002075D3" w:rsidRDefault="002075D3" w:rsidP="002075D3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第九条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研究生经导师同意后在网上选定的课程，原则上不得无故变动。个别因课程停开、上课时间变更等原因造成其选课冲突需要改选、退选或补选课程者，应在规定时间内提出书面申请，并经导师签字同意后到研究生院办理，超过规定时间则不再办理。所选课程如果放弃或不参加考试则按照《东南大学研究生成绩考核办法》有关规定按“零分”记入成绩档案，并注明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 w:hint="eastAsia"/>
          <w:color w:val="000000"/>
        </w:rPr>
        <w:t>旷考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 w:hint="eastAsia"/>
          <w:color w:val="000000"/>
        </w:rPr>
        <w:t>。未网上选课而参加考试者所得成绩无效，不予登记。</w:t>
      </w:r>
    </w:p>
    <w:p w:rsidR="002075D3" w:rsidRDefault="002075D3" w:rsidP="002075D3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第十条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研究生应在本校选修课程，少数课程必须到校外选修者，应经导师及院（系、所）负责人同意，并报研究生院审批。考试合格后，根据开课院校主管部门出具的成绩单和原始试卷，本校可承认其学分，上述手续不完备者，不能取得相应的学分。经研究生院批准的校际互选课程为正常选课，不属于旁听课程。</w:t>
      </w:r>
    </w:p>
    <w:p w:rsidR="002075D3" w:rsidRDefault="002075D3" w:rsidP="002075D3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第十一条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博士生经导师同意可选修硕士生课程（不超过两门），选修跨一级学科的硕士生课程</w:t>
      </w:r>
      <w:proofErr w:type="gramStart"/>
      <w:r>
        <w:rPr>
          <w:rFonts w:ascii="Times New Roman" w:hAnsi="Times New Roman" w:cs="Times New Roman" w:hint="eastAsia"/>
          <w:color w:val="000000"/>
        </w:rPr>
        <w:t>计一半</w:t>
      </w:r>
      <w:proofErr w:type="gramEnd"/>
      <w:r>
        <w:rPr>
          <w:rFonts w:ascii="Times New Roman" w:hAnsi="Times New Roman" w:cs="Times New Roman" w:hint="eastAsia"/>
          <w:color w:val="000000"/>
        </w:rPr>
        <w:t>学分，选修本专业硕士生课程不计学分。</w:t>
      </w:r>
    </w:p>
    <w:p w:rsidR="007B4017" w:rsidRPr="002075D3" w:rsidRDefault="002075D3" w:rsidP="002075D3">
      <w:pPr>
        <w:pStyle w:val="42"/>
      </w:pPr>
      <w:r>
        <w:rPr>
          <w:rFonts w:ascii="Times New Roman" w:eastAsia="黑体" w:hAnsi="Times New Roman" w:cs="Times New Roman" w:hint="eastAsia"/>
          <w:color w:val="000000"/>
        </w:rPr>
        <w:t>第十二条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本办法由研究生院负责解释。</w:t>
      </w:r>
      <w:bookmarkStart w:id="1" w:name="_GoBack"/>
      <w:bookmarkEnd w:id="1"/>
    </w:p>
    <w:sectPr w:rsidR="007B4017" w:rsidRPr="0020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95"/>
    <w:rsid w:val="00093A95"/>
    <w:rsid w:val="002075D3"/>
    <w:rsid w:val="007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1533"/>
  <w15:chartTrackingRefBased/>
  <w15:docId w15:val="{11DA5A29-31D8-4AF4-AAE4-C5728A3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5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Char1">
    <w:name w:val="样式21 Char1"/>
    <w:basedOn w:val="a0"/>
    <w:link w:val="21"/>
    <w:locked/>
    <w:rsid w:val="002075D3"/>
    <w:rPr>
      <w:rFonts w:ascii="黑体" w:eastAsia="黑体" w:hAnsi="宋体" w:cs="宋体"/>
      <w:szCs w:val="21"/>
    </w:rPr>
  </w:style>
  <w:style w:type="paragraph" w:customStyle="1" w:styleId="21">
    <w:name w:val="样式21"/>
    <w:basedOn w:val="a"/>
    <w:link w:val="21Char1"/>
    <w:rsid w:val="002075D3"/>
    <w:pPr>
      <w:spacing w:line="300" w:lineRule="exact"/>
    </w:pPr>
    <w:rPr>
      <w:rFonts w:ascii="黑体" w:eastAsia="黑体" w:hAnsi="宋体" w:cs="宋体"/>
      <w:szCs w:val="21"/>
    </w:rPr>
  </w:style>
  <w:style w:type="character" w:customStyle="1" w:styleId="42Char1">
    <w:name w:val="样式42 Char1"/>
    <w:basedOn w:val="a0"/>
    <w:link w:val="42"/>
    <w:locked/>
    <w:rsid w:val="002075D3"/>
    <w:rPr>
      <w:rFonts w:ascii="方正书宋简体" w:eastAsia="方正书宋简体" w:hAnsi="宋体" w:cs="宋体"/>
      <w:szCs w:val="21"/>
    </w:rPr>
  </w:style>
  <w:style w:type="paragraph" w:customStyle="1" w:styleId="42">
    <w:name w:val="样式42"/>
    <w:basedOn w:val="a"/>
    <w:link w:val="42Char1"/>
    <w:rsid w:val="002075D3"/>
    <w:pPr>
      <w:spacing w:line="300" w:lineRule="exact"/>
      <w:ind w:firstLineChars="200" w:firstLine="420"/>
    </w:pPr>
    <w:rPr>
      <w:rFonts w:ascii="方正书宋简体" w:eastAsia="方正书宋简体" w:hAnsi="宋体" w:cs="宋体"/>
      <w:szCs w:val="21"/>
    </w:rPr>
  </w:style>
  <w:style w:type="paragraph" w:customStyle="1" w:styleId="52">
    <w:name w:val="样式52"/>
    <w:basedOn w:val="1"/>
    <w:rsid w:val="002075D3"/>
    <w:pPr>
      <w:keepNext w:val="0"/>
      <w:keepLines w:val="0"/>
      <w:spacing w:before="0" w:after="0" w:line="240" w:lineRule="auto"/>
      <w:jc w:val="center"/>
    </w:pPr>
    <w:rPr>
      <w:rFonts w:ascii="黑体" w:eastAsia="黑体" w:hAnsi="宋体" w:cs="宋体"/>
      <w:b w:val="0"/>
      <w:bCs w:val="0"/>
      <w:kern w:val="2"/>
      <w:sz w:val="30"/>
      <w:szCs w:val="30"/>
    </w:rPr>
  </w:style>
  <w:style w:type="paragraph" w:customStyle="1" w:styleId="70">
    <w:name w:val="样式70"/>
    <w:basedOn w:val="a"/>
    <w:rsid w:val="002075D3"/>
    <w:pPr>
      <w:spacing w:beforeLines="50" w:afterLines="50" w:line="300" w:lineRule="exact"/>
      <w:jc w:val="center"/>
    </w:pPr>
    <w:rPr>
      <w:rFonts w:eastAsia="黑体"/>
      <w:szCs w:val="21"/>
    </w:rPr>
  </w:style>
  <w:style w:type="paragraph" w:customStyle="1" w:styleId="78">
    <w:name w:val="样式78"/>
    <w:basedOn w:val="a"/>
    <w:qFormat/>
    <w:rsid w:val="002075D3"/>
    <w:pPr>
      <w:spacing w:line="320" w:lineRule="exact"/>
      <w:ind w:firstLineChars="200" w:firstLine="420"/>
    </w:pPr>
    <w:rPr>
      <w:rFonts w:eastAsia="方正书宋简体"/>
      <w:szCs w:val="21"/>
    </w:rPr>
  </w:style>
  <w:style w:type="character" w:customStyle="1" w:styleId="21Char">
    <w:name w:val="样式21 Char"/>
    <w:basedOn w:val="a0"/>
    <w:rsid w:val="002075D3"/>
    <w:rPr>
      <w:rFonts w:ascii="黑体" w:eastAsia="黑体" w:hAnsi="宋体" w:cs="宋体" w:hint="eastAsia"/>
      <w:kern w:val="2"/>
      <w:sz w:val="21"/>
      <w:szCs w:val="21"/>
      <w:lang w:val="en-US" w:eastAsia="zh-CN" w:bidi="ar-SA"/>
    </w:rPr>
  </w:style>
  <w:style w:type="character" w:customStyle="1" w:styleId="10">
    <w:name w:val="标题 1 字符"/>
    <w:basedOn w:val="a0"/>
    <w:link w:val="1"/>
    <w:uiPriority w:val="9"/>
    <w:rsid w:val="002075D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2019-06-20T01:59:00Z</dcterms:created>
  <dcterms:modified xsi:type="dcterms:W3CDTF">2019-06-20T02:00:00Z</dcterms:modified>
</cp:coreProperties>
</file>